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2E60" w14:textId="77777777" w:rsidR="0038713A" w:rsidRPr="00A93F8D" w:rsidRDefault="00000000">
      <w:pPr>
        <w:rPr>
          <w:rFonts w:ascii="Calibri" w:hAnsi="Calibri" w:cs="Calibri"/>
          <w:bCs/>
        </w:rPr>
      </w:pPr>
      <w:r w:rsidRPr="00A93F8D">
        <w:rPr>
          <w:rFonts w:ascii="Calibri" w:hAnsi="Calibri" w:cs="Calibri"/>
          <w:bCs/>
          <w:sz w:val="32"/>
        </w:rPr>
        <w:t>Impactmatrix stakeholders – digitalisering CEM-examineringsketen</w:t>
      </w:r>
    </w:p>
    <w:p w14:paraId="09A62C4B" w14:textId="5AC77F8F" w:rsidR="0038713A" w:rsidRPr="00A93F8D" w:rsidRDefault="00000000">
      <w:pPr>
        <w:rPr>
          <w:rFonts w:ascii="Calibri" w:hAnsi="Calibri" w:cs="Calibri"/>
          <w:bCs/>
        </w:rPr>
      </w:pPr>
      <w:r w:rsidRPr="00A93F8D">
        <w:rPr>
          <w:rFonts w:ascii="Calibri" w:hAnsi="Calibri" w:cs="Calibri"/>
          <w:bCs/>
          <w:sz w:val="20"/>
        </w:rPr>
        <w:t>Overzicht van de belangrijkste impact per stakeholder en processtap in de (digitale) CEM-examineringsketen.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89"/>
        <w:gridCol w:w="1750"/>
        <w:gridCol w:w="1955"/>
        <w:gridCol w:w="1950"/>
        <w:gridCol w:w="1348"/>
        <w:gridCol w:w="1602"/>
        <w:gridCol w:w="1503"/>
        <w:gridCol w:w="1435"/>
        <w:gridCol w:w="1670"/>
      </w:tblGrid>
      <w:tr w:rsidR="00A93F8D" w:rsidRPr="00A93F8D" w14:paraId="0D87E2BA" w14:textId="77777777" w:rsidTr="00A93F8D">
        <w:tc>
          <w:tcPr>
            <w:tcW w:w="1101" w:type="dxa"/>
            <w:shd w:val="clear" w:color="auto" w:fill="D9E1F2"/>
            <w:vAlign w:val="center"/>
          </w:tcPr>
          <w:p w14:paraId="46FDFD0E" w14:textId="65075F36" w:rsidR="0038713A" w:rsidRPr="00A93F8D" w:rsidRDefault="0000000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A93F8D">
              <w:rPr>
                <w:rFonts w:ascii="Calibri" w:hAnsi="Calibri" w:cs="Calibri"/>
                <w:b/>
                <w:sz w:val="16"/>
                <w:szCs w:val="16"/>
              </w:rPr>
              <w:t>Stake</w:t>
            </w:r>
            <w:r w:rsidR="00A93F8D">
              <w:rPr>
                <w:rFonts w:ascii="Calibri" w:hAnsi="Calibri" w:cs="Calibri"/>
                <w:b/>
                <w:sz w:val="16"/>
                <w:szCs w:val="16"/>
              </w:rPr>
              <w:t>-</w:t>
            </w:r>
            <w:r w:rsidRPr="00A93F8D">
              <w:rPr>
                <w:rFonts w:ascii="Calibri" w:hAnsi="Calibri" w:cs="Calibri"/>
                <w:b/>
                <w:sz w:val="16"/>
                <w:szCs w:val="16"/>
              </w:rPr>
              <w:t>holder</w:t>
            </w:r>
          </w:p>
        </w:tc>
        <w:tc>
          <w:tcPr>
            <w:tcW w:w="1635" w:type="dxa"/>
            <w:shd w:val="clear" w:color="auto" w:fill="D9E1F2"/>
            <w:vAlign w:val="center"/>
          </w:tcPr>
          <w:p w14:paraId="15F75AD7" w14:textId="77777777" w:rsidR="00A93F8D" w:rsidRDefault="0000000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A93F8D">
              <w:rPr>
                <w:rFonts w:ascii="Calibri" w:hAnsi="Calibri" w:cs="Calibri"/>
                <w:b/>
                <w:sz w:val="16"/>
                <w:szCs w:val="16"/>
              </w:rPr>
              <w:t>Aanmelden/</w:t>
            </w:r>
          </w:p>
          <w:p w14:paraId="18E1EAB0" w14:textId="23873B36" w:rsidR="0038713A" w:rsidRPr="00A93F8D" w:rsidRDefault="0000000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A93F8D">
              <w:rPr>
                <w:rFonts w:ascii="Calibri" w:hAnsi="Calibri" w:cs="Calibri"/>
                <w:b/>
                <w:sz w:val="16"/>
                <w:szCs w:val="16"/>
              </w:rPr>
              <w:t>Inschrijven</w:t>
            </w:r>
            <w:proofErr w:type="spellEnd"/>
          </w:p>
        </w:tc>
        <w:tc>
          <w:tcPr>
            <w:tcW w:w="1977" w:type="dxa"/>
            <w:shd w:val="clear" w:color="auto" w:fill="D9E1F2"/>
            <w:vAlign w:val="center"/>
          </w:tcPr>
          <w:p w14:paraId="2DF52B4B" w14:textId="77777777" w:rsidR="0038713A" w:rsidRPr="00A93F8D" w:rsidRDefault="0000000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A93F8D">
              <w:rPr>
                <w:rFonts w:ascii="Calibri" w:hAnsi="Calibri" w:cs="Calibri"/>
                <w:b/>
                <w:sz w:val="16"/>
                <w:szCs w:val="16"/>
              </w:rPr>
              <w:t>Inplannen</w:t>
            </w:r>
          </w:p>
        </w:tc>
        <w:tc>
          <w:tcPr>
            <w:tcW w:w="1973" w:type="dxa"/>
            <w:shd w:val="clear" w:color="auto" w:fill="D9E1F2"/>
            <w:vAlign w:val="center"/>
          </w:tcPr>
          <w:p w14:paraId="318AAF6B" w14:textId="77777777" w:rsidR="0038713A" w:rsidRPr="00A93F8D" w:rsidRDefault="0000000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A93F8D">
              <w:rPr>
                <w:rFonts w:ascii="Calibri" w:hAnsi="Calibri" w:cs="Calibri"/>
                <w:b/>
                <w:sz w:val="16"/>
                <w:szCs w:val="16"/>
              </w:rPr>
              <w:t>Afname/Uitvoeren</w:t>
            </w:r>
          </w:p>
        </w:tc>
        <w:tc>
          <w:tcPr>
            <w:tcW w:w="1362" w:type="dxa"/>
            <w:shd w:val="clear" w:color="auto" w:fill="D9E1F2"/>
            <w:vAlign w:val="center"/>
          </w:tcPr>
          <w:p w14:paraId="3078672D" w14:textId="77777777" w:rsidR="0038713A" w:rsidRPr="00A93F8D" w:rsidRDefault="0000000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A93F8D">
              <w:rPr>
                <w:rFonts w:ascii="Calibri" w:hAnsi="Calibri" w:cs="Calibri"/>
                <w:b/>
                <w:sz w:val="16"/>
                <w:szCs w:val="16"/>
              </w:rPr>
              <w:t>Beoordelen</w:t>
            </w:r>
          </w:p>
        </w:tc>
        <w:tc>
          <w:tcPr>
            <w:tcW w:w="1620" w:type="dxa"/>
            <w:shd w:val="clear" w:color="auto" w:fill="D9E1F2"/>
            <w:vAlign w:val="center"/>
          </w:tcPr>
          <w:p w14:paraId="161AF1E2" w14:textId="77777777" w:rsidR="0038713A" w:rsidRPr="00A93F8D" w:rsidRDefault="0000000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A93F8D">
              <w:rPr>
                <w:rFonts w:ascii="Calibri" w:hAnsi="Calibri" w:cs="Calibri"/>
                <w:b/>
                <w:sz w:val="16"/>
                <w:szCs w:val="16"/>
              </w:rPr>
              <w:t>Aanleveren</w:t>
            </w:r>
          </w:p>
        </w:tc>
        <w:tc>
          <w:tcPr>
            <w:tcW w:w="1520" w:type="dxa"/>
            <w:shd w:val="clear" w:color="auto" w:fill="D9E1F2"/>
            <w:vAlign w:val="center"/>
          </w:tcPr>
          <w:p w14:paraId="28EFA3F0" w14:textId="77777777" w:rsidR="00A93F8D" w:rsidRDefault="00000000" w:rsidP="00A93F8D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A93F8D">
              <w:rPr>
                <w:rFonts w:ascii="Calibri" w:hAnsi="Calibri" w:cs="Calibri"/>
                <w:b/>
                <w:sz w:val="16"/>
                <w:szCs w:val="16"/>
              </w:rPr>
              <w:t>Vaststellen/</w:t>
            </w:r>
          </w:p>
          <w:p w14:paraId="22BE17FC" w14:textId="4D64A3E0" w:rsidR="0038713A" w:rsidRPr="00A93F8D" w:rsidRDefault="00000000" w:rsidP="00A93F8D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A93F8D">
              <w:rPr>
                <w:rFonts w:ascii="Calibri" w:hAnsi="Calibri" w:cs="Calibri"/>
                <w:b/>
                <w:sz w:val="16"/>
                <w:szCs w:val="16"/>
              </w:rPr>
              <w:t>Registreren</w:t>
            </w:r>
          </w:p>
        </w:tc>
        <w:tc>
          <w:tcPr>
            <w:tcW w:w="1451" w:type="dxa"/>
            <w:shd w:val="clear" w:color="auto" w:fill="D9E1F2"/>
            <w:vAlign w:val="center"/>
          </w:tcPr>
          <w:p w14:paraId="671A088A" w14:textId="77777777" w:rsidR="00A93F8D" w:rsidRDefault="0000000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A93F8D">
              <w:rPr>
                <w:rFonts w:ascii="Calibri" w:hAnsi="Calibri" w:cs="Calibri"/>
                <w:b/>
                <w:sz w:val="16"/>
                <w:szCs w:val="16"/>
              </w:rPr>
              <w:t>Diplomering/</w:t>
            </w:r>
          </w:p>
          <w:p w14:paraId="71AAF0D1" w14:textId="0C7106AE" w:rsidR="0038713A" w:rsidRPr="00A93F8D" w:rsidRDefault="0000000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A93F8D">
              <w:rPr>
                <w:rFonts w:ascii="Calibri" w:hAnsi="Calibri" w:cs="Calibri"/>
                <w:b/>
                <w:sz w:val="16"/>
                <w:szCs w:val="16"/>
              </w:rPr>
              <w:t>Archiveren</w:t>
            </w:r>
          </w:p>
        </w:tc>
        <w:tc>
          <w:tcPr>
            <w:tcW w:w="1689" w:type="dxa"/>
            <w:shd w:val="clear" w:color="auto" w:fill="D9E1F2"/>
            <w:vAlign w:val="center"/>
          </w:tcPr>
          <w:p w14:paraId="45E56CB3" w14:textId="77777777" w:rsidR="0038713A" w:rsidRPr="00A93F8D" w:rsidRDefault="0000000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A93F8D">
              <w:rPr>
                <w:rFonts w:ascii="Calibri" w:hAnsi="Calibri" w:cs="Calibri"/>
                <w:b/>
                <w:sz w:val="16"/>
                <w:szCs w:val="16"/>
              </w:rPr>
              <w:t>Belangrijkste impact (samenvatting)</w:t>
            </w:r>
          </w:p>
        </w:tc>
      </w:tr>
      <w:tr w:rsidR="00A93F8D" w:rsidRPr="00A93F8D" w14:paraId="52CA0563" w14:textId="77777777" w:rsidTr="00A93F8D">
        <w:tc>
          <w:tcPr>
            <w:tcW w:w="1101" w:type="dxa"/>
          </w:tcPr>
          <w:p w14:paraId="3111A8ED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Student</w:t>
            </w:r>
          </w:p>
        </w:tc>
        <w:tc>
          <w:tcPr>
            <w:tcW w:w="1635" w:type="dxa"/>
          </w:tcPr>
          <w:p w14:paraId="0D8A5E26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Automatische inschrijving op basis van examenplan; actueel en eenduidig examenoverzicht is randvoorwaarde.</w:t>
            </w:r>
          </w:p>
        </w:tc>
        <w:tc>
          <w:tcPr>
            <w:tcW w:w="1977" w:type="dxa"/>
          </w:tcPr>
          <w:p w14:paraId="104A8750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Meer regie binnen kaders; heldere bevestiging/communicatie; verwachting: minder no-shows bij passende tijdsloten.</w:t>
            </w:r>
          </w:p>
        </w:tc>
        <w:tc>
          <w:tcPr>
            <w:tcW w:w="1973" w:type="dxa"/>
          </w:tcPr>
          <w:p w14:paraId="1635C1AF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Afhankelijk van techniek en voorzieningen; snelle ondersteuning bij storingen noodzakelijk.</w:t>
            </w:r>
          </w:p>
        </w:tc>
        <w:tc>
          <w:tcPr>
            <w:tcW w:w="1362" w:type="dxa"/>
          </w:tcPr>
          <w:p w14:paraId="27542434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Indirect: snellere en foutarmere verwerking bij digitale beoordeling.</w:t>
            </w:r>
          </w:p>
        </w:tc>
        <w:tc>
          <w:tcPr>
            <w:tcW w:w="1620" w:type="dxa"/>
          </w:tcPr>
          <w:p w14:paraId="61FD9942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Meer inzicht in voortgang; transparantie kan ook meer vragen oproepen bij stagnatie.</w:t>
            </w:r>
          </w:p>
        </w:tc>
        <w:tc>
          <w:tcPr>
            <w:tcW w:w="1520" w:type="dxa"/>
          </w:tcPr>
          <w:p w14:paraId="58ED65EC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Snellere statusupdates; duidelijke ‘vastgesteld’-status in dossier.</w:t>
            </w:r>
          </w:p>
        </w:tc>
        <w:tc>
          <w:tcPr>
            <w:tcW w:w="1451" w:type="dxa"/>
          </w:tcPr>
          <w:p w14:paraId="266BEC9F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Meer voorspelbaarheid en traceerbaarheid richting diplomering.</w:t>
            </w:r>
          </w:p>
        </w:tc>
        <w:tc>
          <w:tcPr>
            <w:tcW w:w="1689" w:type="dxa"/>
          </w:tcPr>
          <w:p w14:paraId="15615A18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Betrouwbare informatievoorziening, transparantie en betere afstemming van examenmomenten.</w:t>
            </w:r>
          </w:p>
        </w:tc>
      </w:tr>
      <w:tr w:rsidR="00A93F8D" w:rsidRPr="00A93F8D" w14:paraId="5E4A1E07" w14:textId="77777777" w:rsidTr="00A93F8D">
        <w:tc>
          <w:tcPr>
            <w:tcW w:w="1101" w:type="dxa"/>
          </w:tcPr>
          <w:p w14:paraId="2B3D896C" w14:textId="7DE9180E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Docent/</w:t>
            </w:r>
            <w:r w:rsidR="00A93F8D">
              <w:rPr>
                <w:rFonts w:ascii="Calibri" w:hAnsi="Calibri" w:cs="Calibri"/>
                <w:bCs/>
                <w:sz w:val="17"/>
              </w:rPr>
              <w:t xml:space="preserve">   </w:t>
            </w:r>
            <w:r w:rsidRPr="00A93F8D">
              <w:rPr>
                <w:rFonts w:ascii="Calibri" w:hAnsi="Calibri" w:cs="Calibri"/>
                <w:bCs/>
                <w:sz w:val="17"/>
              </w:rPr>
              <w:t>Team</w:t>
            </w:r>
          </w:p>
        </w:tc>
        <w:tc>
          <w:tcPr>
            <w:tcW w:w="1635" w:type="dxa"/>
          </w:tcPr>
          <w:p w14:paraId="72CDC1A2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Beperkte directe impact; overzichten/werkwijzen kunnen wijzigen door (voor)inschrijving.</w:t>
            </w:r>
          </w:p>
        </w:tc>
        <w:tc>
          <w:tcPr>
            <w:tcW w:w="1977" w:type="dxa"/>
          </w:tcPr>
          <w:p w14:paraId="5A8A560A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Meer discipline in planningsinput; behoefte aan totaaloplossing (ruimtes, voorzieningen, individueel/klassikaal).</w:t>
            </w:r>
          </w:p>
        </w:tc>
        <w:tc>
          <w:tcPr>
            <w:tcW w:w="1973" w:type="dxa"/>
          </w:tcPr>
          <w:p w14:paraId="0813B6F2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Standaardisatie kan ontzorgen; storingen leveren extra werk/stress; randvoorwaarden (devices, accounts, beveiliging) cruciaal.</w:t>
            </w:r>
          </w:p>
        </w:tc>
        <w:tc>
          <w:tcPr>
            <w:tcW w:w="1362" w:type="dxa"/>
          </w:tcPr>
          <w:p w14:paraId="775E184F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Bij digitale examens (deels) geautomatiseerd; bij analoog: extra stap digitaliseren (scan/overzet) en hogere foutkans.</w:t>
            </w:r>
          </w:p>
        </w:tc>
        <w:tc>
          <w:tcPr>
            <w:tcW w:w="1620" w:type="dxa"/>
          </w:tcPr>
          <w:p w14:paraId="6FD789F4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Bij digitale formulieren grotendeels direct gereed; bij analoog extra werk en risico op fouten/zoekraken.</w:t>
            </w:r>
          </w:p>
        </w:tc>
        <w:tc>
          <w:tcPr>
            <w:tcW w:w="1520" w:type="dxa"/>
          </w:tcPr>
          <w:p w14:paraId="3AD44E33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Meer zicht op ketenstatus en werkvoorraad; minder herstelwerk bij automatische telling/invoer.</w:t>
            </w:r>
          </w:p>
        </w:tc>
        <w:tc>
          <w:tcPr>
            <w:tcW w:w="1451" w:type="dxa"/>
          </w:tcPr>
          <w:p w14:paraId="7DC8DE67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Indirect: minder ad-hoc vragen en minder fysieke logistiek.</w:t>
            </w:r>
          </w:p>
        </w:tc>
        <w:tc>
          <w:tcPr>
            <w:tcW w:w="1689" w:type="dxa"/>
          </w:tcPr>
          <w:p w14:paraId="1E091A7E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Uniform proces en minder fysieke handelingen, met hogere afhankelijkheid van techniek en goede inrichting.</w:t>
            </w:r>
          </w:p>
        </w:tc>
      </w:tr>
      <w:tr w:rsidR="00A93F8D" w:rsidRPr="00A93F8D" w14:paraId="68DE95D2" w14:textId="77777777" w:rsidTr="00A93F8D">
        <w:tc>
          <w:tcPr>
            <w:tcW w:w="1101" w:type="dxa"/>
          </w:tcPr>
          <w:p w14:paraId="5C6ECC9B" w14:textId="3208E2E6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Examen</w:t>
            </w:r>
            <w:r w:rsidR="00A93F8D">
              <w:rPr>
                <w:rFonts w:ascii="Calibri" w:hAnsi="Calibri" w:cs="Calibri"/>
                <w:bCs/>
                <w:sz w:val="17"/>
              </w:rPr>
              <w:t>-</w:t>
            </w:r>
            <w:proofErr w:type="spellStart"/>
            <w:r w:rsidRPr="00A93F8D">
              <w:rPr>
                <w:rFonts w:ascii="Calibri" w:hAnsi="Calibri" w:cs="Calibri"/>
                <w:bCs/>
                <w:sz w:val="17"/>
              </w:rPr>
              <w:t>commissie</w:t>
            </w:r>
            <w:proofErr w:type="spellEnd"/>
          </w:p>
        </w:tc>
        <w:tc>
          <w:tcPr>
            <w:tcW w:w="1635" w:type="dxa"/>
          </w:tcPr>
          <w:p w14:paraId="21AC3CE3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Buiten bevoegdheid; wel controle op procedurele naleving (incl. logging van ‘Go’/inschrijving).</w:t>
            </w:r>
          </w:p>
        </w:tc>
        <w:tc>
          <w:tcPr>
            <w:tcW w:w="1977" w:type="dxa"/>
          </w:tcPr>
          <w:p w14:paraId="67A89D7D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Indirect: eenduidige planning ondersteunt controleerbaarheid van afnamecondities.</w:t>
            </w:r>
          </w:p>
        </w:tc>
        <w:tc>
          <w:tcPr>
            <w:tcW w:w="1973" w:type="dxa"/>
          </w:tcPr>
          <w:p w14:paraId="4AAEBA1F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Kwaliteit/betrouwbaarheid voorop; digitale afname borgt via logging en proces-verbaal (mits randvoorwaarden op orde).</w:t>
            </w:r>
          </w:p>
        </w:tc>
        <w:tc>
          <w:tcPr>
            <w:tcW w:w="1362" w:type="dxa"/>
          </w:tcPr>
          <w:p w14:paraId="2C271ED0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Minder natel- en controlewerk bij automatische scoreberekening; minder fouten dan handmatig optellen.</w:t>
            </w:r>
          </w:p>
        </w:tc>
        <w:tc>
          <w:tcPr>
            <w:tcW w:w="1620" w:type="dxa"/>
          </w:tcPr>
          <w:p w14:paraId="73D5EC73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Controle op volledigheid/juistheid kan (deels) geautomatiseerd bij digitale aanlevering via koppeling; analoog→digitaal vraagt extra controle.</w:t>
            </w:r>
          </w:p>
        </w:tc>
        <w:tc>
          <w:tcPr>
            <w:tcW w:w="1520" w:type="dxa"/>
          </w:tcPr>
          <w:p w14:paraId="70DCDE47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Andere werkwijze; vaststellen vanuit centraal dossier met audittrail (wie/wat/wanneer).</w:t>
            </w:r>
          </w:p>
        </w:tc>
        <w:tc>
          <w:tcPr>
            <w:tcW w:w="1451" w:type="dxa"/>
          </w:tcPr>
          <w:p w14:paraId="64483636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Diplomering vereist compleet elektronisch dossier; automatische signaleringen verminderen foutkans.</w:t>
            </w:r>
          </w:p>
        </w:tc>
        <w:tc>
          <w:tcPr>
            <w:tcW w:w="1689" w:type="dxa"/>
          </w:tcPr>
          <w:p w14:paraId="4154AF87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Efficiëntere controle en vaststelling door centraal dossier, automatisering en sterke audittrail.</w:t>
            </w:r>
          </w:p>
        </w:tc>
      </w:tr>
      <w:tr w:rsidR="00A93F8D" w:rsidRPr="00A93F8D" w14:paraId="0E2AE20E" w14:textId="77777777" w:rsidTr="00A93F8D">
        <w:tc>
          <w:tcPr>
            <w:tcW w:w="1101" w:type="dxa"/>
          </w:tcPr>
          <w:p w14:paraId="3E2699F1" w14:textId="19F557FD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Examen</w:t>
            </w:r>
            <w:r w:rsidR="00A93F8D">
              <w:rPr>
                <w:rFonts w:ascii="Calibri" w:hAnsi="Calibri" w:cs="Calibri"/>
                <w:bCs/>
                <w:sz w:val="17"/>
              </w:rPr>
              <w:t>-</w:t>
            </w:r>
            <w:r w:rsidRPr="00A93F8D">
              <w:rPr>
                <w:rFonts w:ascii="Calibri" w:hAnsi="Calibri" w:cs="Calibri"/>
                <w:bCs/>
                <w:sz w:val="17"/>
              </w:rPr>
              <w:t>bureau</w:t>
            </w:r>
          </w:p>
        </w:tc>
        <w:tc>
          <w:tcPr>
            <w:tcW w:w="1635" w:type="dxa"/>
          </w:tcPr>
          <w:p w14:paraId="69EC87AB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Meer werk in inrichting en beheer van (voor)inschrijving en faciliteitenreservering; goede studenteninformatie nodig.</w:t>
            </w:r>
          </w:p>
        </w:tc>
        <w:tc>
          <w:tcPr>
            <w:tcW w:w="1977" w:type="dxa"/>
          </w:tcPr>
          <w:p w14:paraId="321D9226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Centrale planning en capaciteitsbeheer; afstemming met roostering en voorzieningen.</w:t>
            </w:r>
          </w:p>
        </w:tc>
        <w:tc>
          <w:tcPr>
            <w:tcW w:w="1973" w:type="dxa"/>
          </w:tcPr>
          <w:p w14:paraId="337C8C47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Voldoende faciliteiten en support (helpdesk/hotline); digitaal proces-verbaal vraagt begeleiding.</w:t>
            </w:r>
          </w:p>
        </w:tc>
        <w:tc>
          <w:tcPr>
            <w:tcW w:w="1362" w:type="dxa"/>
          </w:tcPr>
          <w:p w14:paraId="4C1E5CC7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Indirect: minder herstelwerk bij digitale beoordeling; ondersteuning bij uitzonderingen blijft nodig.</w:t>
            </w:r>
          </w:p>
        </w:tc>
        <w:tc>
          <w:tcPr>
            <w:tcW w:w="1620" w:type="dxa"/>
          </w:tcPr>
          <w:p w14:paraId="43DA2818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Registratie grotendeels geautomatiseerd; rol verschuift naar controle, support en datakwaliteit (codes/structuur).</w:t>
            </w:r>
          </w:p>
        </w:tc>
        <w:tc>
          <w:tcPr>
            <w:tcW w:w="1520" w:type="dxa"/>
          </w:tcPr>
          <w:p w14:paraId="2340E67B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Automatische resultaatovername verlaagt doorlooptijd; monitoring op tijdigheid en uitzonderingen blijft vereist.</w:t>
            </w:r>
          </w:p>
        </w:tc>
        <w:tc>
          <w:tcPr>
            <w:tcW w:w="1451" w:type="dxa"/>
          </w:tcPr>
          <w:p w14:paraId="0BD6B449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Dossiercheck blijft nodig; archivering kan vergaand automatiseren (bewaartermijnen en systeeminrichting).</w:t>
            </w:r>
          </w:p>
        </w:tc>
        <w:tc>
          <w:tcPr>
            <w:tcW w:w="1689" w:type="dxa"/>
          </w:tcPr>
          <w:p w14:paraId="46CEFF74" w14:textId="77777777" w:rsidR="0038713A" w:rsidRPr="00A93F8D" w:rsidRDefault="00000000">
            <w:pPr>
              <w:rPr>
                <w:rFonts w:ascii="Calibri" w:hAnsi="Calibri" w:cs="Calibri"/>
                <w:bCs/>
              </w:rPr>
            </w:pPr>
            <w:r w:rsidRPr="00A93F8D">
              <w:rPr>
                <w:rFonts w:ascii="Calibri" w:hAnsi="Calibri" w:cs="Calibri"/>
                <w:bCs/>
                <w:sz w:val="17"/>
              </w:rPr>
              <w:t>Verschuiving van handwerk naar regie, ondersteuning, datakwaliteit en compliance.</w:t>
            </w:r>
          </w:p>
        </w:tc>
      </w:tr>
    </w:tbl>
    <w:p w14:paraId="1E2EEF8E" w14:textId="77777777" w:rsidR="0038713A" w:rsidRPr="00A93F8D" w:rsidRDefault="0038713A">
      <w:pPr>
        <w:rPr>
          <w:rFonts w:ascii="Calibri" w:hAnsi="Calibri" w:cs="Calibri"/>
          <w:bCs/>
        </w:rPr>
      </w:pPr>
    </w:p>
    <w:p w14:paraId="09A8E478" w14:textId="77777777" w:rsidR="0038713A" w:rsidRPr="00A93F8D" w:rsidRDefault="00000000">
      <w:pPr>
        <w:rPr>
          <w:rFonts w:ascii="Calibri" w:hAnsi="Calibri" w:cs="Calibri"/>
          <w:bCs/>
        </w:rPr>
      </w:pPr>
      <w:r w:rsidRPr="00A93F8D">
        <w:rPr>
          <w:rFonts w:ascii="Calibri" w:hAnsi="Calibri" w:cs="Calibri"/>
          <w:bCs/>
          <w:i/>
          <w:sz w:val="17"/>
        </w:rPr>
        <w:t>NB: De impact is kwalitatief beschreven en kan per college/team verschillen. Gebruik de matrix als basis voor prioritering en besluitvorming.</w:t>
      </w:r>
    </w:p>
    <w:sectPr w:rsidR="0038713A" w:rsidRPr="00A93F8D" w:rsidSect="00034616">
      <w:pgSz w:w="15840" w:h="12240" w:orient="landscape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06716088">
    <w:abstractNumId w:val="8"/>
  </w:num>
  <w:num w:numId="2" w16cid:durableId="357048565">
    <w:abstractNumId w:val="6"/>
  </w:num>
  <w:num w:numId="3" w16cid:durableId="8719968">
    <w:abstractNumId w:val="5"/>
  </w:num>
  <w:num w:numId="4" w16cid:durableId="442115955">
    <w:abstractNumId w:val="4"/>
  </w:num>
  <w:num w:numId="5" w16cid:durableId="655185631">
    <w:abstractNumId w:val="7"/>
  </w:num>
  <w:num w:numId="6" w16cid:durableId="1154949871">
    <w:abstractNumId w:val="3"/>
  </w:num>
  <w:num w:numId="7" w16cid:durableId="183784611">
    <w:abstractNumId w:val="2"/>
  </w:num>
  <w:num w:numId="8" w16cid:durableId="798913483">
    <w:abstractNumId w:val="1"/>
  </w:num>
  <w:num w:numId="9" w16cid:durableId="540214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8713A"/>
    <w:rsid w:val="00A4395B"/>
    <w:rsid w:val="00A93F8D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E88516"/>
  <w14:defaultImageDpi w14:val="300"/>
  <w15:docId w15:val="{D89A6FB2-627D-D748-8E71-8C27B787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Een nieuw document maken." ma:contentTypeScope="" ma:versionID="4615cf6ba5de3eed33b992bd7fe9830c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09bd00e70051fd3331954e7d8bfd8f4c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ca735f-45b0-4987-a415-60057608088f">
      <Terms xmlns="http://schemas.microsoft.com/office/infopath/2007/PartnerControls"/>
    </lcf76f155ced4ddcb4097134ff3c332f>
    <TaxCatchAll xmlns="79953b17-17d0-4057-ba3d-4eadb565cf6a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564CFF-E424-457A-B8FD-F9770F07FA8D}"/>
</file>

<file path=customXml/itemProps3.xml><?xml version="1.0" encoding="utf-8"?>
<ds:datastoreItem xmlns:ds="http://schemas.openxmlformats.org/officeDocument/2006/customXml" ds:itemID="{3AB3A5D7-2B39-44C6-BEF7-F7254C75006B}"/>
</file>

<file path=customXml/itemProps4.xml><?xml version="1.0" encoding="utf-8"?>
<ds:datastoreItem xmlns:ds="http://schemas.openxmlformats.org/officeDocument/2006/customXml" ds:itemID="{7418D66E-D0DA-4E06-8195-20E2E6D9EB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Alda Kroneman</cp:lastModifiedBy>
  <cp:revision>2</cp:revision>
  <dcterms:created xsi:type="dcterms:W3CDTF">2026-02-12T23:13:00Z</dcterms:created>
  <dcterms:modified xsi:type="dcterms:W3CDTF">2026-02-12T23:13:00Z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</Properties>
</file>